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CCF2" w14:textId="4699DB20" w:rsidR="00786D09" w:rsidRDefault="001D0299" w:rsidP="001D0299">
      <w:pPr>
        <w:spacing w:after="0"/>
        <w:jc w:val="center"/>
      </w:pPr>
      <w:r>
        <w:rPr>
          <w:noProof/>
        </w:rPr>
        <w:drawing>
          <wp:inline distT="0" distB="0" distL="0" distR="0" wp14:anchorId="180BED29" wp14:editId="63035643">
            <wp:extent cx="3286125" cy="136895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368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80826" w14:textId="255CCEC1" w:rsidR="10F0A8FC" w:rsidRDefault="10F0A8FC" w:rsidP="10F0A8FC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02407" w14:paraId="27AE1AEA" w14:textId="77777777" w:rsidTr="35614A41">
        <w:tc>
          <w:tcPr>
            <w:tcW w:w="10682" w:type="dxa"/>
            <w:shd w:val="clear" w:color="auto" w:fill="D5DCE4" w:themeFill="text2" w:themeFillTint="33"/>
          </w:tcPr>
          <w:p w14:paraId="0E36B916" w14:textId="3D1FAAED" w:rsidR="00502407" w:rsidRPr="00076BC3" w:rsidRDefault="00076BC3" w:rsidP="005024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 glove or not to glove? </w:t>
            </w:r>
          </w:p>
          <w:p w14:paraId="067EA3D8" w14:textId="77777777" w:rsidR="00502407" w:rsidRDefault="00076BC3" w:rsidP="00D72397">
            <w:pPr>
              <w:rPr>
                <w:bCs/>
              </w:rPr>
            </w:pPr>
            <w:r>
              <w:rPr>
                <w:bCs/>
              </w:rPr>
              <w:t>Non-sterile gloves should only be used when needed.</w:t>
            </w:r>
          </w:p>
          <w:p w14:paraId="6F25CF8D" w14:textId="77777777" w:rsidR="00665CFA" w:rsidRDefault="00665CFA" w:rsidP="00D72397">
            <w:pPr>
              <w:rPr>
                <w:bCs/>
                <w:vertAlign w:val="superscript"/>
              </w:rPr>
            </w:pPr>
            <w:r>
              <w:rPr>
                <w:bCs/>
              </w:rPr>
              <w:t xml:space="preserve">Wearing non-sterile gloves should not be considered a substitute for hand hygiene. </w:t>
            </w:r>
            <w:r w:rsidRPr="00665CFA">
              <w:rPr>
                <w:bCs/>
                <w:vertAlign w:val="superscript"/>
              </w:rPr>
              <w:t>1</w:t>
            </w:r>
          </w:p>
          <w:p w14:paraId="04C22911" w14:textId="00709E30" w:rsidR="00C3149A" w:rsidRDefault="00C3149A" w:rsidP="00D72397">
            <w:pPr>
              <w:rPr>
                <w:bCs/>
              </w:rPr>
            </w:pPr>
            <w:r>
              <w:rPr>
                <w:bCs/>
              </w:rPr>
              <w:t>There is evidence that healthcare workers may be less likel</w:t>
            </w:r>
            <w:r w:rsidR="000D4C43">
              <w:rPr>
                <w:bCs/>
              </w:rPr>
              <w:t xml:space="preserve">y to </w:t>
            </w:r>
            <w:r w:rsidR="00ED69E8">
              <w:rPr>
                <w:bCs/>
              </w:rPr>
              <w:t xml:space="preserve">perform correct hand </w:t>
            </w:r>
            <w:r w:rsidR="00920958">
              <w:rPr>
                <w:bCs/>
              </w:rPr>
              <w:t>hygiene when wearing gloves.</w:t>
            </w:r>
          </w:p>
        </w:tc>
      </w:tr>
      <w:tr w:rsidR="00665CFA" w14:paraId="1A056DB8" w14:textId="77777777" w:rsidTr="35614A41">
        <w:tc>
          <w:tcPr>
            <w:tcW w:w="10682" w:type="dxa"/>
            <w:shd w:val="clear" w:color="auto" w:fill="D5DCE4" w:themeFill="text2" w:themeFillTint="33"/>
          </w:tcPr>
          <w:p w14:paraId="619E8948" w14:textId="7AA95820" w:rsidR="00665CFA" w:rsidRDefault="00665CFA" w:rsidP="00502407">
            <w:pPr>
              <w:rPr>
                <w:b/>
                <w:bCs/>
              </w:rPr>
            </w:pPr>
            <w:r>
              <w:rPr>
                <w:b/>
                <w:bCs/>
              </w:rPr>
              <w:t>GLOVE USE INFECTION CONTROL GUIDELINES</w:t>
            </w:r>
          </w:p>
        </w:tc>
      </w:tr>
      <w:tr w:rsidR="00616A1B" w14:paraId="538A7EC9" w14:textId="77777777" w:rsidTr="35614A41">
        <w:tc>
          <w:tcPr>
            <w:tcW w:w="10682" w:type="dxa"/>
            <w:shd w:val="clear" w:color="auto" w:fill="E2EFD9" w:themeFill="accent6" w:themeFillTint="33"/>
          </w:tcPr>
          <w:p w14:paraId="64603A4F" w14:textId="77777777" w:rsidR="00076BC3" w:rsidRPr="00076BC3" w:rsidRDefault="00076BC3" w:rsidP="00076BC3">
            <w:pPr>
              <w:rPr>
                <w:b/>
                <w:bCs/>
              </w:rPr>
            </w:pPr>
            <w:r w:rsidRPr="00076BC3">
              <w:rPr>
                <w:b/>
                <w:bCs/>
              </w:rPr>
              <w:t>GLOVES (Non-sterile) NEED TO BE USED FOR</w:t>
            </w:r>
            <w:r w:rsidRPr="00076BC3">
              <w:rPr>
                <w:b/>
                <w:bCs/>
                <w:vertAlign w:val="superscript"/>
              </w:rPr>
              <w:t>2</w:t>
            </w:r>
          </w:p>
          <w:p w14:paraId="5AA9E155" w14:textId="77777777" w:rsidR="00076BC3" w:rsidRPr="00723840" w:rsidRDefault="00076BC3" w:rsidP="00076BC3">
            <w:pPr>
              <w:pStyle w:val="ListParagraph"/>
              <w:numPr>
                <w:ilvl w:val="0"/>
                <w:numId w:val="7"/>
              </w:numPr>
            </w:pPr>
            <w:r>
              <w:t xml:space="preserve">Anticipating direct contact with non-intact skin, or mucous membrane </w:t>
            </w:r>
            <w:r w:rsidRPr="00206162">
              <w:rPr>
                <w:vertAlign w:val="superscript"/>
              </w:rPr>
              <w:t>1,</w:t>
            </w:r>
            <w:r>
              <w:t xml:space="preserve"> </w:t>
            </w:r>
            <w:r>
              <w:rPr>
                <w:vertAlign w:val="superscript"/>
              </w:rPr>
              <w:t>2, 3</w:t>
            </w:r>
          </w:p>
          <w:p w14:paraId="423664A7" w14:textId="77777777" w:rsidR="00076BC3" w:rsidRPr="00723840" w:rsidRDefault="00076BC3" w:rsidP="00076BC3">
            <w:pPr>
              <w:pStyle w:val="ListParagraph"/>
              <w:numPr>
                <w:ilvl w:val="0"/>
                <w:numId w:val="7"/>
              </w:numPr>
            </w:pPr>
            <w:r>
              <w:t xml:space="preserve">Anticipating direct contact with blood, body substances, secretions or excretions </w:t>
            </w:r>
            <w:r w:rsidRPr="00206162">
              <w:rPr>
                <w:vertAlign w:val="superscript"/>
              </w:rPr>
              <w:t>1,</w:t>
            </w:r>
            <w:r>
              <w:t xml:space="preserve"> </w:t>
            </w:r>
            <w:r>
              <w:rPr>
                <w:vertAlign w:val="superscript"/>
              </w:rPr>
              <w:t>2, 3</w:t>
            </w:r>
          </w:p>
          <w:p w14:paraId="3BC02E4A" w14:textId="77777777" w:rsidR="00076BC3" w:rsidRPr="00B92183" w:rsidRDefault="00076BC3" w:rsidP="00076BC3">
            <w:pPr>
              <w:pStyle w:val="ListParagraph"/>
              <w:numPr>
                <w:ilvl w:val="0"/>
                <w:numId w:val="7"/>
              </w:numPr>
            </w:pPr>
            <w:r>
              <w:t>Handling or touching visibly or potentially contaminated patient-care equipment, and environmental surfaces</w:t>
            </w:r>
            <w:r>
              <w:rPr>
                <w:vertAlign w:val="superscript"/>
              </w:rPr>
              <w:t xml:space="preserve"> </w:t>
            </w:r>
            <w:r w:rsidRPr="00206162">
              <w:rPr>
                <w:vertAlign w:val="superscript"/>
              </w:rPr>
              <w:t>1,</w:t>
            </w:r>
            <w:r>
              <w:t xml:space="preserve"> </w:t>
            </w:r>
            <w:r>
              <w:rPr>
                <w:vertAlign w:val="superscript"/>
              </w:rPr>
              <w:t>2</w:t>
            </w:r>
          </w:p>
          <w:p w14:paraId="56BC9BA2" w14:textId="77777777" w:rsidR="00076BC3" w:rsidRPr="00723840" w:rsidRDefault="00076BC3" w:rsidP="00076BC3">
            <w:pPr>
              <w:pStyle w:val="ListParagraph"/>
              <w:numPr>
                <w:ilvl w:val="0"/>
                <w:numId w:val="7"/>
              </w:numPr>
            </w:pPr>
            <w:r>
              <w:t xml:space="preserve">Physical contact with clinical waste, eg dressings or contaminated linen / clothing </w:t>
            </w:r>
            <w:r>
              <w:rPr>
                <w:vertAlign w:val="superscript"/>
              </w:rPr>
              <w:t>3</w:t>
            </w:r>
          </w:p>
          <w:p w14:paraId="1CAB6C06" w14:textId="77777777" w:rsidR="00076BC3" w:rsidRDefault="00076BC3" w:rsidP="00076BC3">
            <w:pPr>
              <w:pStyle w:val="ListParagraph"/>
              <w:numPr>
                <w:ilvl w:val="0"/>
                <w:numId w:val="7"/>
              </w:numPr>
            </w:pPr>
            <w:r>
              <w:t xml:space="preserve">Blood glucose and haemoglobin monitoring </w:t>
            </w:r>
            <w:r>
              <w:rPr>
                <w:vertAlign w:val="superscript"/>
              </w:rPr>
              <w:t>2, 3</w:t>
            </w:r>
          </w:p>
          <w:p w14:paraId="775BD14E" w14:textId="77777777" w:rsidR="00076BC3" w:rsidRDefault="00076BC3" w:rsidP="00076BC3">
            <w:pPr>
              <w:pStyle w:val="ListParagraph"/>
              <w:numPr>
                <w:ilvl w:val="0"/>
                <w:numId w:val="7"/>
              </w:numPr>
            </w:pPr>
            <w:r>
              <w:t xml:space="preserve">Intravenous cannula insertion </w:t>
            </w:r>
            <w:r>
              <w:rPr>
                <w:vertAlign w:val="superscript"/>
              </w:rPr>
              <w:t>2, 3</w:t>
            </w:r>
          </w:p>
          <w:p w14:paraId="1879A735" w14:textId="77777777" w:rsidR="00076BC3" w:rsidRDefault="00076BC3" w:rsidP="00076BC3">
            <w:pPr>
              <w:pStyle w:val="ListParagraph"/>
              <w:numPr>
                <w:ilvl w:val="0"/>
                <w:numId w:val="7"/>
              </w:numPr>
            </w:pPr>
            <w:r>
              <w:t xml:space="preserve">Performing an invasive procedure, venepuncture or a finger or heel prick. </w:t>
            </w:r>
            <w:r>
              <w:rPr>
                <w:vertAlign w:val="superscript"/>
              </w:rPr>
              <w:t>1</w:t>
            </w:r>
          </w:p>
          <w:p w14:paraId="0E105820" w14:textId="77777777" w:rsidR="00076BC3" w:rsidRDefault="00076BC3" w:rsidP="00076BC3">
            <w:pPr>
              <w:pStyle w:val="ListParagraph"/>
              <w:numPr>
                <w:ilvl w:val="0"/>
                <w:numId w:val="7"/>
              </w:numPr>
            </w:pPr>
            <w:r>
              <w:t>Urinary catheter care</w:t>
            </w:r>
            <w:r>
              <w:rPr>
                <w:vertAlign w:val="superscript"/>
              </w:rPr>
              <w:t>3</w:t>
            </w:r>
          </w:p>
          <w:p w14:paraId="24117C1F" w14:textId="77777777" w:rsidR="00076BC3" w:rsidRDefault="00076BC3" w:rsidP="00076BC3">
            <w:pPr>
              <w:pStyle w:val="ListParagraph"/>
              <w:numPr>
                <w:ilvl w:val="0"/>
                <w:numId w:val="7"/>
              </w:numPr>
            </w:pPr>
            <w:r>
              <w:t xml:space="preserve">Routine intra-oral dental procedures </w:t>
            </w:r>
            <w:r>
              <w:rPr>
                <w:vertAlign w:val="superscript"/>
              </w:rPr>
              <w:t>3</w:t>
            </w:r>
          </w:p>
          <w:p w14:paraId="4DD38974" w14:textId="77777777" w:rsidR="00076BC3" w:rsidRDefault="00076BC3" w:rsidP="00076BC3">
            <w:pPr>
              <w:pStyle w:val="ListParagraph"/>
              <w:numPr>
                <w:ilvl w:val="0"/>
                <w:numId w:val="7"/>
              </w:numPr>
              <w:rPr>
                <w:vertAlign w:val="superscript"/>
              </w:rPr>
            </w:pPr>
            <w:r>
              <w:t xml:space="preserve">Assisting with toileting </w:t>
            </w:r>
            <w:r w:rsidRPr="557418FA">
              <w:rPr>
                <w:vertAlign w:val="superscript"/>
              </w:rPr>
              <w:t>3</w:t>
            </w:r>
          </w:p>
          <w:p w14:paraId="474CF8F6" w14:textId="77777777" w:rsidR="00076BC3" w:rsidRDefault="00076BC3" w:rsidP="00076BC3">
            <w:pPr>
              <w:pStyle w:val="ListParagraph"/>
              <w:numPr>
                <w:ilvl w:val="0"/>
                <w:numId w:val="7"/>
              </w:numPr>
              <w:rPr>
                <w:vertAlign w:val="superscript"/>
              </w:rPr>
            </w:pPr>
            <w:r w:rsidRPr="557418FA">
              <w:t>Handling cytotoxic medications</w:t>
            </w:r>
            <w:r w:rsidRPr="557418FA">
              <w:rPr>
                <w:vertAlign w:val="superscript"/>
              </w:rPr>
              <w:t xml:space="preserve"> 1</w:t>
            </w:r>
            <w:r>
              <w:rPr>
                <w:vertAlign w:val="superscript"/>
              </w:rPr>
              <w:t xml:space="preserve"> </w:t>
            </w:r>
            <w:r w:rsidRPr="00C25FA0">
              <w:t>(purple gloves)</w:t>
            </w:r>
          </w:p>
          <w:p w14:paraId="0F7696F9" w14:textId="77777777" w:rsidR="00616A1B" w:rsidRDefault="00616A1B" w:rsidP="00502407"/>
        </w:tc>
      </w:tr>
      <w:tr w:rsidR="00502407" w14:paraId="2A75D936" w14:textId="77777777" w:rsidTr="35614A41">
        <w:tc>
          <w:tcPr>
            <w:tcW w:w="10682" w:type="dxa"/>
            <w:shd w:val="clear" w:color="auto" w:fill="EEDAEC"/>
          </w:tcPr>
          <w:p w14:paraId="05A02061" w14:textId="0CB076EC" w:rsidR="007065AD" w:rsidRDefault="007065AD" w:rsidP="007065AD">
            <w:r w:rsidRPr="00395904">
              <w:rPr>
                <w:b/>
                <w:bCs/>
              </w:rPr>
              <w:t>GLOVES DO NOT NEED TO BE USED FOR</w:t>
            </w:r>
            <w:r>
              <w:t xml:space="preserve"> (</w:t>
            </w:r>
            <w:r w:rsidR="00395904">
              <w:t xml:space="preserve">standard precautions </w:t>
            </w:r>
            <w:r>
              <w:t>patient with no known or suspected infection)</w:t>
            </w:r>
          </w:p>
          <w:p w14:paraId="6B06D2F9" w14:textId="77777777" w:rsidR="007065AD" w:rsidRDefault="007065AD" w:rsidP="007065AD">
            <w:pPr>
              <w:pStyle w:val="ListParagraph"/>
              <w:numPr>
                <w:ilvl w:val="0"/>
                <w:numId w:val="7"/>
              </w:numPr>
            </w:pPr>
            <w:r>
              <w:t xml:space="preserve">Direct physical contact with intact skin </w:t>
            </w:r>
            <w:r w:rsidRPr="00395904">
              <w:rPr>
                <w:vertAlign w:val="superscript"/>
              </w:rPr>
              <w:t>3</w:t>
            </w:r>
          </w:p>
          <w:p w14:paraId="7FD87AF6" w14:textId="77777777" w:rsidR="007065AD" w:rsidRPr="007065AD" w:rsidRDefault="007065AD" w:rsidP="007065AD">
            <w:pPr>
              <w:pStyle w:val="ListParagraph"/>
              <w:numPr>
                <w:ilvl w:val="0"/>
                <w:numId w:val="7"/>
              </w:numPr>
            </w:pPr>
            <w:r>
              <w:t xml:space="preserve">Activities of daily living, eg washing </w:t>
            </w:r>
            <w:r w:rsidRPr="00395904">
              <w:rPr>
                <w:vertAlign w:val="superscript"/>
              </w:rPr>
              <w:t>2, 3</w:t>
            </w:r>
          </w:p>
          <w:p w14:paraId="2EF22DC6" w14:textId="77777777" w:rsidR="007065AD" w:rsidRDefault="007065AD" w:rsidP="007065AD">
            <w:pPr>
              <w:pStyle w:val="ListParagraph"/>
              <w:numPr>
                <w:ilvl w:val="0"/>
                <w:numId w:val="7"/>
              </w:numPr>
            </w:pPr>
            <w:r>
              <w:t xml:space="preserve">Routine observations (eg blood pressure measurement) </w:t>
            </w:r>
            <w:r w:rsidRPr="00395904">
              <w:rPr>
                <w:vertAlign w:val="superscript"/>
              </w:rPr>
              <w:t>2, 3</w:t>
            </w:r>
          </w:p>
          <w:p w14:paraId="1BD2C8E4" w14:textId="77777777" w:rsidR="007065AD" w:rsidRPr="00C25FA0" w:rsidRDefault="007065AD" w:rsidP="007065AD">
            <w:pPr>
              <w:pStyle w:val="ListParagraph"/>
              <w:numPr>
                <w:ilvl w:val="0"/>
                <w:numId w:val="7"/>
              </w:numPr>
            </w:pPr>
            <w:r>
              <w:t xml:space="preserve">Performing subcutaneous, intramuscular, or intradermal injections </w:t>
            </w:r>
            <w:r w:rsidRPr="007065AD">
              <w:t>1</w:t>
            </w:r>
          </w:p>
          <w:p w14:paraId="0071A301" w14:textId="77777777" w:rsidR="007065AD" w:rsidRPr="00723840" w:rsidRDefault="007065AD" w:rsidP="007065AD">
            <w:pPr>
              <w:pStyle w:val="ListParagraph"/>
              <w:numPr>
                <w:ilvl w:val="0"/>
                <w:numId w:val="7"/>
              </w:numPr>
            </w:pPr>
            <w:r>
              <w:t>Accessing cannula / IV line using aseptic non-touch technique</w:t>
            </w:r>
          </w:p>
          <w:p w14:paraId="5D4B3D27" w14:textId="77777777" w:rsidR="00502407" w:rsidRDefault="00502407" w:rsidP="00D72397">
            <w:pPr>
              <w:rPr>
                <w:bCs/>
              </w:rPr>
            </w:pPr>
          </w:p>
        </w:tc>
      </w:tr>
      <w:tr w:rsidR="00502407" w14:paraId="48F20E11" w14:textId="77777777" w:rsidTr="35614A41">
        <w:tc>
          <w:tcPr>
            <w:tcW w:w="10682" w:type="dxa"/>
            <w:shd w:val="clear" w:color="auto" w:fill="FBE4D5" w:themeFill="accent2" w:themeFillTint="33"/>
          </w:tcPr>
          <w:p w14:paraId="4389A97E" w14:textId="77777777" w:rsidR="007065AD" w:rsidRDefault="007065AD" w:rsidP="007065AD">
            <w:r w:rsidRPr="00395904">
              <w:rPr>
                <w:b/>
                <w:bCs/>
              </w:rPr>
              <w:t>CHANGE GLOVES</w:t>
            </w:r>
            <w:r>
              <w:t xml:space="preserve"> </w:t>
            </w:r>
            <w:r w:rsidRPr="00206162">
              <w:rPr>
                <w:vertAlign w:val="superscript"/>
              </w:rPr>
              <w:t>1,</w:t>
            </w:r>
            <w:r>
              <w:t xml:space="preserve"> </w:t>
            </w:r>
            <w:r>
              <w:rPr>
                <w:vertAlign w:val="superscript"/>
              </w:rPr>
              <w:t>2, 3</w:t>
            </w:r>
          </w:p>
          <w:p w14:paraId="13382855" w14:textId="77777777" w:rsidR="007065AD" w:rsidRDefault="007065AD" w:rsidP="007065AD">
            <w:pPr>
              <w:pStyle w:val="ListParagraph"/>
              <w:numPr>
                <w:ilvl w:val="0"/>
                <w:numId w:val="7"/>
              </w:numPr>
            </w:pPr>
            <w:r>
              <w:t>Between episodes of care for different patients</w:t>
            </w:r>
          </w:p>
          <w:p w14:paraId="6C700B62" w14:textId="77777777" w:rsidR="007065AD" w:rsidRDefault="007065AD" w:rsidP="007065AD">
            <w:pPr>
              <w:pStyle w:val="ListParagraph"/>
              <w:numPr>
                <w:ilvl w:val="0"/>
                <w:numId w:val="7"/>
              </w:numPr>
            </w:pPr>
            <w:r>
              <w:t xml:space="preserve">During care of the same patient after each episode of individual care if moving from a contaminated body site to another site. Work from clean to dirty site. </w:t>
            </w:r>
          </w:p>
          <w:p w14:paraId="2171ABE2" w14:textId="77777777" w:rsidR="007065AD" w:rsidRDefault="007065AD" w:rsidP="007065AD">
            <w:pPr>
              <w:pStyle w:val="ListParagraph"/>
              <w:numPr>
                <w:ilvl w:val="0"/>
                <w:numId w:val="7"/>
              </w:numPr>
            </w:pPr>
            <w:r>
              <w:t xml:space="preserve">If gloves become torn or punctured </w:t>
            </w:r>
            <w:r w:rsidRPr="007065AD">
              <w:t>1</w:t>
            </w:r>
          </w:p>
          <w:p w14:paraId="061AB082" w14:textId="77777777" w:rsidR="00502407" w:rsidRDefault="00502407" w:rsidP="00D72397">
            <w:pPr>
              <w:rPr>
                <w:bCs/>
              </w:rPr>
            </w:pPr>
          </w:p>
        </w:tc>
      </w:tr>
      <w:tr w:rsidR="00502407" w14:paraId="27D5B87A" w14:textId="77777777" w:rsidTr="35614A41">
        <w:tc>
          <w:tcPr>
            <w:tcW w:w="10682" w:type="dxa"/>
            <w:shd w:val="clear" w:color="auto" w:fill="BDD6EE" w:themeFill="accent1" w:themeFillTint="66"/>
          </w:tcPr>
          <w:p w14:paraId="25F832DE" w14:textId="77777777" w:rsidR="007065AD" w:rsidRDefault="007065AD" w:rsidP="007065AD">
            <w:pPr>
              <w:rPr>
                <w:vertAlign w:val="superscript"/>
              </w:rPr>
            </w:pPr>
            <w:r w:rsidRPr="00395904">
              <w:rPr>
                <w:b/>
                <w:bCs/>
              </w:rPr>
              <w:t>HAND HYGIENE SHOULD BE PERFORMED</w:t>
            </w:r>
            <w:r>
              <w:t xml:space="preserve"> </w:t>
            </w:r>
            <w:r w:rsidRPr="2ADE6AAE">
              <w:rPr>
                <w:vertAlign w:val="superscript"/>
              </w:rPr>
              <w:t>1,</w:t>
            </w:r>
            <w:r>
              <w:t xml:space="preserve"> </w:t>
            </w:r>
            <w:r w:rsidRPr="2ADE6AAE">
              <w:rPr>
                <w:vertAlign w:val="superscript"/>
              </w:rPr>
              <w:t>2, 3</w:t>
            </w:r>
          </w:p>
          <w:p w14:paraId="3DC42B91" w14:textId="77777777" w:rsidR="007065AD" w:rsidRDefault="007065AD" w:rsidP="007065AD">
            <w:r>
              <w:t>5 moments of hand hygiene:</w:t>
            </w:r>
          </w:p>
          <w:p w14:paraId="29C82701" w14:textId="77777777" w:rsidR="007065AD" w:rsidRDefault="007065AD" w:rsidP="007065AD">
            <w:pPr>
              <w:pStyle w:val="ListParagraph"/>
              <w:numPr>
                <w:ilvl w:val="0"/>
                <w:numId w:val="5"/>
              </w:numPr>
            </w:pPr>
            <w:r>
              <w:t>Before touching a patient</w:t>
            </w:r>
          </w:p>
          <w:p w14:paraId="7E8D1638" w14:textId="77777777" w:rsidR="007065AD" w:rsidRDefault="007065AD" w:rsidP="007065AD">
            <w:pPr>
              <w:pStyle w:val="ListParagraph"/>
              <w:numPr>
                <w:ilvl w:val="0"/>
                <w:numId w:val="5"/>
              </w:numPr>
            </w:pPr>
            <w:r>
              <w:t>Before a procedure</w:t>
            </w:r>
          </w:p>
          <w:p w14:paraId="059A5FC7" w14:textId="77777777" w:rsidR="007065AD" w:rsidRDefault="007065AD" w:rsidP="007065AD">
            <w:pPr>
              <w:pStyle w:val="ListParagraph"/>
              <w:numPr>
                <w:ilvl w:val="0"/>
                <w:numId w:val="5"/>
              </w:numPr>
            </w:pPr>
            <w:r>
              <w:t>After a procedure or body fluid exposure risk</w:t>
            </w:r>
          </w:p>
          <w:p w14:paraId="0E590B78" w14:textId="77777777" w:rsidR="007065AD" w:rsidRDefault="007065AD" w:rsidP="007065AD">
            <w:pPr>
              <w:pStyle w:val="ListParagraph"/>
              <w:numPr>
                <w:ilvl w:val="0"/>
                <w:numId w:val="5"/>
              </w:numPr>
            </w:pPr>
            <w:r>
              <w:t>After touching a patient</w:t>
            </w:r>
          </w:p>
          <w:p w14:paraId="0919BA96" w14:textId="77777777" w:rsidR="007065AD" w:rsidRDefault="007065AD" w:rsidP="007065AD">
            <w:pPr>
              <w:pStyle w:val="ListParagraph"/>
              <w:numPr>
                <w:ilvl w:val="0"/>
                <w:numId w:val="5"/>
              </w:numPr>
            </w:pPr>
            <w:r>
              <w:t xml:space="preserve">A touching a patient’s surroundings. </w:t>
            </w:r>
          </w:p>
          <w:p w14:paraId="3B17C49D" w14:textId="77777777" w:rsidR="007065AD" w:rsidRDefault="007065AD" w:rsidP="007065AD">
            <w:r>
              <w:t>And</w:t>
            </w:r>
          </w:p>
          <w:p w14:paraId="19DE96C0" w14:textId="77777777" w:rsidR="007065AD" w:rsidRDefault="007065AD" w:rsidP="00395904">
            <w:pPr>
              <w:pStyle w:val="ListParagraph"/>
              <w:numPr>
                <w:ilvl w:val="0"/>
                <w:numId w:val="8"/>
              </w:numPr>
            </w:pPr>
            <w:r>
              <w:t>Before donning gloves</w:t>
            </w:r>
          </w:p>
          <w:p w14:paraId="0B4A03D1" w14:textId="77777777" w:rsidR="007065AD" w:rsidRDefault="007065AD" w:rsidP="00395904">
            <w:pPr>
              <w:pStyle w:val="ListParagraph"/>
              <w:numPr>
                <w:ilvl w:val="0"/>
                <w:numId w:val="8"/>
              </w:numPr>
            </w:pPr>
            <w:r>
              <w:t>After gloves are removed</w:t>
            </w:r>
          </w:p>
          <w:p w14:paraId="09128DC7" w14:textId="77777777" w:rsidR="00502407" w:rsidRDefault="00502407" w:rsidP="00D72397">
            <w:pPr>
              <w:rPr>
                <w:bCs/>
              </w:rPr>
            </w:pPr>
          </w:p>
        </w:tc>
      </w:tr>
      <w:tr w:rsidR="00502407" w14:paraId="695F07BB" w14:textId="77777777" w:rsidTr="35614A41">
        <w:tc>
          <w:tcPr>
            <w:tcW w:w="10682" w:type="dxa"/>
          </w:tcPr>
          <w:p w14:paraId="4D12E81A" w14:textId="24FFE4BC" w:rsidR="00502407" w:rsidRPr="003D25FF" w:rsidRDefault="007065AD" w:rsidP="00D72397">
            <w:pPr>
              <w:rPr>
                <w:b/>
                <w:bCs/>
              </w:rPr>
            </w:pPr>
            <w:r w:rsidRPr="00F658B1">
              <w:rPr>
                <w:b/>
                <w:bCs/>
              </w:rPr>
              <w:t>For any questions about hand hygiene and glove use, contact your Ward NUM or Gloves Off Champion</w:t>
            </w:r>
          </w:p>
        </w:tc>
      </w:tr>
      <w:tr w:rsidR="007065AD" w14:paraId="38AF5814" w14:textId="77777777" w:rsidTr="35614A41">
        <w:tc>
          <w:tcPr>
            <w:tcW w:w="10682" w:type="dxa"/>
            <w:shd w:val="clear" w:color="auto" w:fill="A8D08D" w:themeFill="accent6" w:themeFillTint="99"/>
          </w:tcPr>
          <w:p w14:paraId="0BCBAACC" w14:textId="5FEB383A" w:rsidR="007065AD" w:rsidRPr="00D14687" w:rsidRDefault="007065AD" w:rsidP="007065AD">
            <w:pPr>
              <w:rPr>
                <w:b/>
                <w:bCs/>
              </w:rPr>
            </w:pPr>
            <w:r w:rsidRPr="00D14687">
              <w:rPr>
                <w:b/>
                <w:bCs/>
              </w:rPr>
              <w:t>What is the environmental impact of gloves</w:t>
            </w:r>
            <w:r w:rsidR="00D14687" w:rsidRPr="00D14687">
              <w:rPr>
                <w:b/>
                <w:bCs/>
              </w:rPr>
              <w:t>?</w:t>
            </w:r>
          </w:p>
          <w:p w14:paraId="67B351B7" w14:textId="77777777" w:rsidR="00D14687" w:rsidRDefault="00D14687" w:rsidP="007065AD"/>
          <w:p w14:paraId="34175B89" w14:textId="62AC100D" w:rsidR="00D14687" w:rsidRPr="00233BEE" w:rsidRDefault="00D14687" w:rsidP="35614A41">
            <w:pPr>
              <w:rPr>
                <w:vertAlign w:val="superscript"/>
              </w:rPr>
            </w:pPr>
            <w:r w:rsidRPr="00233BEE">
              <w:t xml:space="preserve">One non-sterile glove has an </w:t>
            </w:r>
            <w:r w:rsidR="00C47240">
              <w:t>estimated</w:t>
            </w:r>
            <w:r w:rsidRPr="00233BEE">
              <w:t xml:space="preserve"> carbon footprint of </w:t>
            </w:r>
            <w:r w:rsidR="00DA4011" w:rsidRPr="00233BEE">
              <w:t>0.0</w:t>
            </w:r>
            <w:r w:rsidR="00C47240">
              <w:t>34</w:t>
            </w:r>
            <w:r w:rsidR="00DA4011" w:rsidRPr="00233BEE">
              <w:t xml:space="preserve"> kg Co2 e.</w:t>
            </w:r>
            <w:r w:rsidR="004E25E9" w:rsidRPr="00233BEE">
              <w:t xml:space="preserve"> </w:t>
            </w:r>
            <w:r w:rsidR="5E606FE2" w:rsidRPr="00233BEE">
              <w:rPr>
                <w:vertAlign w:val="superscript"/>
              </w:rPr>
              <w:t>4</w:t>
            </w:r>
          </w:p>
          <w:p w14:paraId="107CF046" w14:textId="77777777" w:rsidR="002A16B1" w:rsidRPr="00233BEE" w:rsidRDefault="002A16B1" w:rsidP="007065AD"/>
          <w:p w14:paraId="11EF7684" w14:textId="1E31BA68" w:rsidR="00DA4011" w:rsidRDefault="00DA4011" w:rsidP="35614A41">
            <w:pPr>
              <w:spacing w:line="259" w:lineRule="auto"/>
            </w:pPr>
            <w:r w:rsidRPr="00233BEE">
              <w:t>In compariso</w:t>
            </w:r>
            <w:r w:rsidR="004E25E9" w:rsidRPr="00233BEE">
              <w:t xml:space="preserve">n, </w:t>
            </w:r>
            <w:r w:rsidR="002A16B1" w:rsidRPr="00233BEE">
              <w:t xml:space="preserve">using one application of Alcohol Based </w:t>
            </w:r>
            <w:r w:rsidR="00E72FAD" w:rsidRPr="00233BEE">
              <w:t>Hand Rub</w:t>
            </w:r>
            <w:r w:rsidR="002A16B1" w:rsidRPr="00233BEE">
              <w:t xml:space="preserve"> </w:t>
            </w:r>
            <w:r w:rsidR="00746544" w:rsidRPr="00233BEE">
              <w:t xml:space="preserve">has an </w:t>
            </w:r>
            <w:r w:rsidR="00E72FAD" w:rsidRPr="00233BEE">
              <w:t>estimated</w:t>
            </w:r>
            <w:r w:rsidR="00746544" w:rsidRPr="00233BEE">
              <w:t xml:space="preserve"> foot</w:t>
            </w:r>
            <w:r w:rsidR="00E72FAD" w:rsidRPr="00233BEE">
              <w:t>pr</w:t>
            </w:r>
            <w:r w:rsidR="00746544" w:rsidRPr="00233BEE">
              <w:t xml:space="preserve">int of </w:t>
            </w:r>
            <w:r w:rsidR="00E72FAD" w:rsidRPr="00233BEE">
              <w:t xml:space="preserve">0.0009 kg Co2 e. </w:t>
            </w:r>
            <w:r w:rsidR="69572852" w:rsidRPr="00233BEE">
              <w:rPr>
                <w:vertAlign w:val="superscript"/>
              </w:rPr>
              <w:t>5</w:t>
            </w:r>
          </w:p>
          <w:p w14:paraId="611164E1" w14:textId="5EC1103A" w:rsidR="00DA4011" w:rsidRDefault="00DA4011" w:rsidP="007065AD"/>
          <w:p w14:paraId="5CC8A88C" w14:textId="301E7B68" w:rsidR="007065AD" w:rsidRPr="00960782" w:rsidRDefault="00960782" w:rsidP="007065AD">
            <w:pPr>
              <w:rPr>
                <w:b/>
                <w:bCs/>
              </w:rPr>
            </w:pPr>
            <w:r w:rsidRPr="00960782">
              <w:rPr>
                <w:b/>
                <w:bCs/>
              </w:rPr>
              <w:t>What does that mean in everyday terms?</w:t>
            </w:r>
          </w:p>
          <w:p w14:paraId="381E490D" w14:textId="77777777" w:rsidR="00960782" w:rsidRDefault="00960782" w:rsidP="007065AD"/>
          <w:p w14:paraId="02184E47" w14:textId="2851ED69" w:rsidR="00960782" w:rsidRDefault="00960782" w:rsidP="007065AD">
            <w:r>
              <w:t xml:space="preserve">John Hunter Hospital uses </w:t>
            </w:r>
            <w:r w:rsidR="009642AB">
              <w:t xml:space="preserve">almost a million </w:t>
            </w:r>
            <w:r w:rsidR="00CE171B">
              <w:t xml:space="preserve">non-sterile </w:t>
            </w:r>
            <w:r w:rsidR="009642AB">
              <w:t>gloves per month</w:t>
            </w:r>
            <w:r w:rsidR="006B3F01">
              <w:t xml:space="preserve">, at a cost of </w:t>
            </w:r>
            <w:r w:rsidR="00E31155">
              <w:t xml:space="preserve">approximately </w:t>
            </w:r>
            <w:r w:rsidR="006B3F01">
              <w:t>$</w:t>
            </w:r>
            <w:r w:rsidR="0081247E">
              <w:t>5</w:t>
            </w:r>
            <w:r w:rsidR="006B3F01">
              <w:t xml:space="preserve">0, 000, with </w:t>
            </w:r>
            <w:r w:rsidR="00344190">
              <w:t>waste</w:t>
            </w:r>
            <w:r w:rsidR="00E31155">
              <w:t xml:space="preserve"> to landfill of </w:t>
            </w:r>
            <w:r w:rsidR="00F0473E">
              <w:t>over 3</w:t>
            </w:r>
            <w:r w:rsidR="00E31155">
              <w:t xml:space="preserve"> tonnes.</w:t>
            </w:r>
          </w:p>
          <w:p w14:paraId="10B80E0F" w14:textId="25E178D9" w:rsidR="001703F4" w:rsidRDefault="001703F4" w:rsidP="007065AD">
            <w:r>
              <w:t>The carbon footprint of those one million gloves would be equivalent to driving an average Australian passenger car all the way around Australia</w:t>
            </w:r>
            <w:r w:rsidR="00E661E5">
              <w:t xml:space="preserve"> (a journey of </w:t>
            </w:r>
            <w:r w:rsidR="00344190">
              <w:t>approximately</w:t>
            </w:r>
            <w:r w:rsidR="00E661E5">
              <w:t xml:space="preserve"> 15 000 km) 15 times. </w:t>
            </w:r>
          </w:p>
          <w:p w14:paraId="6C634DDF" w14:textId="1F64100E" w:rsidR="007065AD" w:rsidRDefault="007065AD" w:rsidP="007065AD"/>
        </w:tc>
      </w:tr>
      <w:tr w:rsidR="00D14687" w14:paraId="48A03F9C" w14:textId="77777777" w:rsidTr="35614A41">
        <w:tc>
          <w:tcPr>
            <w:tcW w:w="10682" w:type="dxa"/>
          </w:tcPr>
          <w:p w14:paraId="3CA2D618" w14:textId="77777777" w:rsidR="00D14687" w:rsidRPr="00D14687" w:rsidRDefault="00D14687" w:rsidP="00D14687">
            <w:pPr>
              <w:rPr>
                <w:b/>
                <w:bCs/>
              </w:rPr>
            </w:pPr>
            <w:r w:rsidRPr="00D14687">
              <w:rPr>
                <w:b/>
                <w:bCs/>
              </w:rPr>
              <w:lastRenderedPageBreak/>
              <w:t>REFERENCES</w:t>
            </w:r>
          </w:p>
          <w:p w14:paraId="4DFC350E" w14:textId="77777777" w:rsidR="00D14687" w:rsidRDefault="00D14687" w:rsidP="00D14687"/>
          <w:p w14:paraId="5F8C27DC" w14:textId="4F6FBA49" w:rsidR="00D14687" w:rsidRPr="00206162" w:rsidRDefault="00D14687" w:rsidP="00D14687">
            <w:pPr>
              <w:pStyle w:val="ListParagraph"/>
              <w:numPr>
                <w:ilvl w:val="0"/>
                <w:numId w:val="6"/>
              </w:numPr>
            </w:pPr>
            <w:r>
              <w:t xml:space="preserve"> CLIN</w:t>
            </w:r>
            <w:r w:rsidR="00233BEE">
              <w:t>I</w:t>
            </w:r>
            <w:r>
              <w:t xml:space="preserve">CAL EXCELLENCE COMMISSION </w:t>
            </w:r>
            <w:r w:rsidRPr="00206162">
              <w:t>INFECTION PREVENTION AND CONTROL PRACTICE HANDBOOK</w:t>
            </w:r>
          </w:p>
          <w:p w14:paraId="1EE21198" w14:textId="77777777" w:rsidR="00D14687" w:rsidRDefault="000D6F6D" w:rsidP="00D14687">
            <w:pPr>
              <w:ind w:firstLine="720"/>
            </w:pPr>
            <w:hyperlink r:id="rId10" w:history="1">
              <w:r w:rsidR="00D14687">
                <w:rPr>
                  <w:rStyle w:val="Hyperlink"/>
                </w:rPr>
                <w:t>Infection Prevention and Control Practice Handbook (nsw.gov.au)</w:t>
              </w:r>
            </w:hyperlink>
            <w:r w:rsidR="00D14687">
              <w:t xml:space="preserve"> </w:t>
            </w:r>
          </w:p>
          <w:p w14:paraId="61C9B28F" w14:textId="77777777" w:rsidR="00D14687" w:rsidRDefault="00D14687" w:rsidP="00D14687"/>
          <w:p w14:paraId="11D3F696" w14:textId="77777777" w:rsidR="00D14687" w:rsidRDefault="00D14687" w:rsidP="00D14687">
            <w:pPr>
              <w:pStyle w:val="ListParagraph"/>
              <w:numPr>
                <w:ilvl w:val="0"/>
                <w:numId w:val="6"/>
              </w:numPr>
            </w:pPr>
            <w:r>
              <w:t>A</w:t>
            </w:r>
            <w:r w:rsidRPr="00CD1081">
              <w:t>ustralian Guidelines for the Prevention and Control of Infection in Healthcare</w:t>
            </w:r>
          </w:p>
          <w:p w14:paraId="0BA79BC8" w14:textId="77777777" w:rsidR="00D14687" w:rsidRDefault="000D6F6D" w:rsidP="00D14687">
            <w:pPr>
              <w:ind w:firstLine="720"/>
            </w:pPr>
            <w:hyperlink r:id="rId11" w:history="1">
              <w:r w:rsidR="00D14687">
                <w:rPr>
                  <w:rStyle w:val="Hyperlink"/>
                </w:rPr>
                <w:t>Australian Guidelines for the Prevention and Control of Infection in Healthcare (nhmrc.gov.au)</w:t>
              </w:r>
            </w:hyperlink>
          </w:p>
          <w:p w14:paraId="380FFF7B" w14:textId="77777777" w:rsidR="00D14687" w:rsidRDefault="00D14687" w:rsidP="00D14687"/>
          <w:p w14:paraId="58C8D185" w14:textId="77777777" w:rsidR="00D14687" w:rsidRDefault="00D14687" w:rsidP="00D14687">
            <w:pPr>
              <w:pStyle w:val="ListParagraph"/>
              <w:numPr>
                <w:ilvl w:val="0"/>
                <w:numId w:val="6"/>
              </w:numPr>
            </w:pPr>
            <w:r>
              <w:t>Clinical Educators Guide</w:t>
            </w:r>
          </w:p>
          <w:p w14:paraId="56C6F188" w14:textId="49DEF261" w:rsidR="0076384F" w:rsidRDefault="000D6F6D" w:rsidP="0076384F">
            <w:pPr>
              <w:pStyle w:val="ListParagraph"/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hyperlink r:id="rId12" w:tgtFrame="_blank" w:history="1">
              <w:r w:rsidR="0076384F">
                <w:rPr>
                  <w:rStyle w:val="normaltextrun"/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Clinical Educators Guide: Australian Guidelines for the Prevention and Control of Infection in Healthcare (nhmrc.gov.au)</w:t>
              </w:r>
            </w:hyperlink>
            <w:r w:rsidR="0076384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="0076384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6250C54A" w14:textId="77777777" w:rsidR="0076384F" w:rsidRDefault="0076384F" w:rsidP="0076384F">
            <w:pPr>
              <w:pStyle w:val="ListParagraph"/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4F089FDC" w14:textId="5D7EC2D9" w:rsidR="0076384F" w:rsidRDefault="0097568C" w:rsidP="0076384F">
            <w:pPr>
              <w:pStyle w:val="ListParagraph"/>
              <w:numPr>
                <w:ilvl w:val="0"/>
                <w:numId w:val="6"/>
              </w:numPr>
            </w:pPr>
            <w:r w:rsidRPr="0097568C">
              <w:t xml:space="preserve">Jamal, H., Lyne, A., Ashley, P., &amp; Duane, B. (2021). Non-sterile examination gloves and sterile surgical gloves: Which are more sustainable? Journal of Hospital Infection, 118, 87–95. </w:t>
            </w:r>
            <w:hyperlink r:id="rId13" w:history="1">
              <w:r w:rsidRPr="00CE3202">
                <w:rPr>
                  <w:rStyle w:val="Hyperlink"/>
                </w:rPr>
                <w:t>https://doi.org/10.1016/j.jhin.2021.10.001</w:t>
              </w:r>
            </w:hyperlink>
          </w:p>
          <w:p w14:paraId="5DB4D7B0" w14:textId="77777777" w:rsidR="0097568C" w:rsidRDefault="0097568C" w:rsidP="0097568C">
            <w:pPr>
              <w:pStyle w:val="ListParagraph"/>
            </w:pPr>
          </w:p>
          <w:p w14:paraId="3F83B81F" w14:textId="2C265308" w:rsidR="00ED3507" w:rsidRDefault="00ED3507" w:rsidP="00ED3507">
            <w:pPr>
              <w:pStyle w:val="ListParagraph"/>
              <w:numPr>
                <w:ilvl w:val="0"/>
                <w:numId w:val="6"/>
              </w:numPr>
            </w:pPr>
            <w:r>
              <w:t xml:space="preserve">Jeffries, S. D., Tu, Z., Xu, H., Harutyunyan, R., &amp; Hemmerling, T. M. (2023). Use of hand sanitiser as a potential substitution for nonsterile gloves in reducing carbon emissions. </w:t>
            </w:r>
            <w:r w:rsidRPr="00ED3507">
              <w:t>British Journal of Anaesthesia</w:t>
            </w:r>
            <w:r>
              <w:t xml:space="preserve">, </w:t>
            </w:r>
            <w:r w:rsidRPr="00ED3507">
              <w:t>131</w:t>
            </w:r>
            <w:r>
              <w:t xml:space="preserve">(1). </w:t>
            </w:r>
            <w:hyperlink r:id="rId14" w:history="1">
              <w:r w:rsidRPr="00CE3202">
                <w:rPr>
                  <w:rStyle w:val="Hyperlink"/>
                </w:rPr>
                <w:t>https://doi.org/10.1016/j.bja.2023.03.029</w:t>
              </w:r>
            </w:hyperlink>
            <w:r>
              <w:t xml:space="preserve">  </w:t>
            </w:r>
          </w:p>
          <w:p w14:paraId="61AC7603" w14:textId="77777777" w:rsidR="0097568C" w:rsidRDefault="0097568C" w:rsidP="00A060AF">
            <w:pPr>
              <w:pStyle w:val="ListParagraph"/>
            </w:pPr>
          </w:p>
          <w:p w14:paraId="1D28FDE0" w14:textId="77777777" w:rsidR="00D14687" w:rsidRDefault="00D14687" w:rsidP="007065AD"/>
        </w:tc>
      </w:tr>
    </w:tbl>
    <w:p w14:paraId="6677B713" w14:textId="77777777" w:rsidR="00502407" w:rsidRDefault="00502407" w:rsidP="00D72397">
      <w:pPr>
        <w:spacing w:after="0"/>
        <w:rPr>
          <w:bCs/>
        </w:rPr>
      </w:pPr>
    </w:p>
    <w:p w14:paraId="6AD24A39" w14:textId="06577012" w:rsidR="000D60A1" w:rsidRPr="00502407" w:rsidRDefault="000D60A1" w:rsidP="00D72397">
      <w:pPr>
        <w:spacing w:after="0"/>
        <w:rPr>
          <w:b/>
        </w:rPr>
      </w:pPr>
      <w:r w:rsidRPr="00502407">
        <w:rPr>
          <w:b/>
        </w:rPr>
        <w:t>Gloves off , c</w:t>
      </w:r>
      <w:r w:rsidR="004179EC" w:rsidRPr="00502407">
        <w:rPr>
          <w:b/>
        </w:rPr>
        <w:t>l</w:t>
      </w:r>
      <w:r w:rsidRPr="00502407">
        <w:rPr>
          <w:b/>
        </w:rPr>
        <w:t>ea</w:t>
      </w:r>
      <w:r w:rsidR="004179EC" w:rsidRPr="00502407">
        <w:rPr>
          <w:b/>
        </w:rPr>
        <w:t>n hands, safe for all</w:t>
      </w:r>
    </w:p>
    <w:p w14:paraId="3E92866B" w14:textId="77777777" w:rsidR="00AE7872" w:rsidRDefault="00AE7872" w:rsidP="00D72397">
      <w:pPr>
        <w:spacing w:after="0"/>
        <w:rPr>
          <w:bCs/>
        </w:rPr>
      </w:pPr>
    </w:p>
    <w:p w14:paraId="765B7F83" w14:textId="40325655" w:rsidR="009C72DF" w:rsidRDefault="009C72DF" w:rsidP="009C72DF">
      <w:pPr>
        <w:rPr>
          <w:rFonts w:ascii="Calibri" w:eastAsia="Calibri" w:hAnsi="Calibri" w:cs="Calibri"/>
        </w:rPr>
      </w:pPr>
    </w:p>
    <w:sectPr w:rsidR="009C72DF" w:rsidSect="003646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VYDD K+ 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208"/>
    <w:multiLevelType w:val="hybridMultilevel"/>
    <w:tmpl w:val="3A08C8E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14F86"/>
    <w:multiLevelType w:val="hybridMultilevel"/>
    <w:tmpl w:val="09B47DF6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C5B21"/>
    <w:multiLevelType w:val="hybridMultilevel"/>
    <w:tmpl w:val="912E225E"/>
    <w:lvl w:ilvl="0" w:tplc="CF801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73173"/>
    <w:multiLevelType w:val="hybridMultilevel"/>
    <w:tmpl w:val="98F0A71C"/>
    <w:lvl w:ilvl="0" w:tplc="694025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B652A"/>
    <w:multiLevelType w:val="hybridMultilevel"/>
    <w:tmpl w:val="8D8C9D68"/>
    <w:lvl w:ilvl="0" w:tplc="25B609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8CC17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E04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B41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BEA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BC9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C36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821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E8E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13633"/>
    <w:multiLevelType w:val="hybridMultilevel"/>
    <w:tmpl w:val="DF58F1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711A0"/>
    <w:multiLevelType w:val="hybridMultilevel"/>
    <w:tmpl w:val="F9AE0B52"/>
    <w:lvl w:ilvl="0" w:tplc="C052C5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D0FE6"/>
    <w:multiLevelType w:val="hybridMultilevel"/>
    <w:tmpl w:val="CCCA168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224075">
    <w:abstractNumId w:val="4"/>
  </w:num>
  <w:num w:numId="2" w16cid:durableId="821309441">
    <w:abstractNumId w:val="5"/>
  </w:num>
  <w:num w:numId="3" w16cid:durableId="1645353403">
    <w:abstractNumId w:val="6"/>
  </w:num>
  <w:num w:numId="4" w16cid:durableId="1234316535">
    <w:abstractNumId w:val="1"/>
  </w:num>
  <w:num w:numId="5" w16cid:durableId="796753045">
    <w:abstractNumId w:val="3"/>
  </w:num>
  <w:num w:numId="6" w16cid:durableId="291177771">
    <w:abstractNumId w:val="2"/>
  </w:num>
  <w:num w:numId="7" w16cid:durableId="453402969">
    <w:abstractNumId w:val="7"/>
  </w:num>
  <w:num w:numId="8" w16cid:durableId="1757631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D4D"/>
    <w:rsid w:val="000118F0"/>
    <w:rsid w:val="00060A90"/>
    <w:rsid w:val="000635C7"/>
    <w:rsid w:val="00076BC3"/>
    <w:rsid w:val="0009349D"/>
    <w:rsid w:val="000D4C43"/>
    <w:rsid w:val="000D60A1"/>
    <w:rsid w:val="000D6F6D"/>
    <w:rsid w:val="001703F4"/>
    <w:rsid w:val="001A4292"/>
    <w:rsid w:val="001B1ED6"/>
    <w:rsid w:val="001D0299"/>
    <w:rsid w:val="001F4D4D"/>
    <w:rsid w:val="0020289C"/>
    <w:rsid w:val="00206162"/>
    <w:rsid w:val="00206BBA"/>
    <w:rsid w:val="00233BEE"/>
    <w:rsid w:val="002A16B1"/>
    <w:rsid w:val="002F347C"/>
    <w:rsid w:val="00312EFD"/>
    <w:rsid w:val="00344190"/>
    <w:rsid w:val="00364658"/>
    <w:rsid w:val="003700D1"/>
    <w:rsid w:val="00387B15"/>
    <w:rsid w:val="00395904"/>
    <w:rsid w:val="003D25FF"/>
    <w:rsid w:val="004179EC"/>
    <w:rsid w:val="00420FFD"/>
    <w:rsid w:val="00476DD2"/>
    <w:rsid w:val="004E25E9"/>
    <w:rsid w:val="00502407"/>
    <w:rsid w:val="0058289E"/>
    <w:rsid w:val="005833FB"/>
    <w:rsid w:val="00616A1B"/>
    <w:rsid w:val="00633DB7"/>
    <w:rsid w:val="00665CFA"/>
    <w:rsid w:val="006B3F01"/>
    <w:rsid w:val="007065AD"/>
    <w:rsid w:val="00723840"/>
    <w:rsid w:val="00746544"/>
    <w:rsid w:val="0076384F"/>
    <w:rsid w:val="0076706C"/>
    <w:rsid w:val="0078072A"/>
    <w:rsid w:val="00786D09"/>
    <w:rsid w:val="007E5DB2"/>
    <w:rsid w:val="0081247E"/>
    <w:rsid w:val="00814D0B"/>
    <w:rsid w:val="00897496"/>
    <w:rsid w:val="008E5C8D"/>
    <w:rsid w:val="00911668"/>
    <w:rsid w:val="00920958"/>
    <w:rsid w:val="00960782"/>
    <w:rsid w:val="009642AB"/>
    <w:rsid w:val="0097568C"/>
    <w:rsid w:val="009C72DF"/>
    <w:rsid w:val="00A060AF"/>
    <w:rsid w:val="00AD401B"/>
    <w:rsid w:val="00AD6B97"/>
    <w:rsid w:val="00AE7872"/>
    <w:rsid w:val="00B46DC0"/>
    <w:rsid w:val="00B92183"/>
    <w:rsid w:val="00BF5A67"/>
    <w:rsid w:val="00C25FA0"/>
    <w:rsid w:val="00C3149A"/>
    <w:rsid w:val="00C37716"/>
    <w:rsid w:val="00C47240"/>
    <w:rsid w:val="00CA320E"/>
    <w:rsid w:val="00CB65C1"/>
    <w:rsid w:val="00CD1081"/>
    <w:rsid w:val="00CE171B"/>
    <w:rsid w:val="00D14687"/>
    <w:rsid w:val="00D72397"/>
    <w:rsid w:val="00D90085"/>
    <w:rsid w:val="00DA4011"/>
    <w:rsid w:val="00DA54D4"/>
    <w:rsid w:val="00DC2F7A"/>
    <w:rsid w:val="00E06A1E"/>
    <w:rsid w:val="00E31155"/>
    <w:rsid w:val="00E661E5"/>
    <w:rsid w:val="00E72FAD"/>
    <w:rsid w:val="00E75B37"/>
    <w:rsid w:val="00ED3507"/>
    <w:rsid w:val="00ED3861"/>
    <w:rsid w:val="00ED69E8"/>
    <w:rsid w:val="00EE64EE"/>
    <w:rsid w:val="00F0473E"/>
    <w:rsid w:val="00F42425"/>
    <w:rsid w:val="00F658B1"/>
    <w:rsid w:val="00F95722"/>
    <w:rsid w:val="0350B23A"/>
    <w:rsid w:val="10F0A8FC"/>
    <w:rsid w:val="19BF55CB"/>
    <w:rsid w:val="1A1DC18E"/>
    <w:rsid w:val="29125B95"/>
    <w:rsid w:val="2ADE6AAE"/>
    <w:rsid w:val="2C7984AC"/>
    <w:rsid w:val="303349C9"/>
    <w:rsid w:val="35614A41"/>
    <w:rsid w:val="3697EC42"/>
    <w:rsid w:val="43ABADF7"/>
    <w:rsid w:val="451E2BEF"/>
    <w:rsid w:val="478FC1C1"/>
    <w:rsid w:val="557418FA"/>
    <w:rsid w:val="5E606FE2"/>
    <w:rsid w:val="69572852"/>
    <w:rsid w:val="7371D0B7"/>
    <w:rsid w:val="73F35556"/>
    <w:rsid w:val="7D8BBA92"/>
    <w:rsid w:val="7E829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AB886"/>
  <w15:docId w15:val="{BD9BAD64-20B7-488A-969B-AEEE4D81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4D4D"/>
    <w:pPr>
      <w:autoSpaceDE w:val="0"/>
      <w:autoSpaceDN w:val="0"/>
      <w:adjustRightInd w:val="0"/>
      <w:spacing w:after="0" w:line="240" w:lineRule="auto"/>
    </w:pPr>
    <w:rPr>
      <w:rFonts w:ascii="GVYDD K+ Gotham" w:hAnsi="GVYDD K+ Gotham" w:cs="GVYDD K+ Gotham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2E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32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3FB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502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6384F"/>
  </w:style>
  <w:style w:type="character" w:customStyle="1" w:styleId="eop">
    <w:name w:val="eop"/>
    <w:basedOn w:val="DefaultParagraphFont"/>
    <w:rsid w:val="0076384F"/>
  </w:style>
  <w:style w:type="character" w:styleId="UnresolvedMention">
    <w:name w:val="Unresolved Mention"/>
    <w:basedOn w:val="DefaultParagraphFont"/>
    <w:uiPriority w:val="99"/>
    <w:semiHidden/>
    <w:unhideWhenUsed/>
    <w:rsid w:val="00975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016/j.jhin.2021.10.00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hmrc.gov.au/sites/default/files/documents/attachments/Clinical-Educators-Guide-WEB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mrc.gov.au/sites/default/files/documents/infection-control-guidelines-feb2020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www.cec.health.nsw.gov.au/__data/assets/pdf_file/0010/383239/IPC-Practice-Handbook-2020.PD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doi.org/10.1016/j.bja.2023.03.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074BF86562242B8135F09315FAABE" ma:contentTypeVersion="11" ma:contentTypeDescription="Create a new document." ma:contentTypeScope="" ma:versionID="081bf5f3fb7d4ad7630758ef5d0e4286">
  <xsd:schema xmlns:xsd="http://www.w3.org/2001/XMLSchema" xmlns:xs="http://www.w3.org/2001/XMLSchema" xmlns:p="http://schemas.microsoft.com/office/2006/metadata/properties" xmlns:ns2="8a202190-0da4-4fdc-8bc8-189f9f921ae4" xmlns:ns3="6e2b7c9e-f35a-4e5e-8c7e-8016799b0ecb" targetNamespace="http://schemas.microsoft.com/office/2006/metadata/properties" ma:root="true" ma:fieldsID="37401087beea4d5ffd4c464f2a552ba3" ns2:_="" ns3:_="">
    <xsd:import namespace="8a202190-0da4-4fdc-8bc8-189f9f921ae4"/>
    <xsd:import namespace="6e2b7c9e-f35a-4e5e-8c7e-8016799b0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02190-0da4-4fdc-8bc8-189f9f921a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b7c9e-f35a-4e5e-8c7e-8016799b0e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2b7c9e-f35a-4e5e-8c7e-8016799b0ecb">
      <UserInfo>
        <DisplayName>Amy Bernotas (Hunter New England LHD)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96CC6C4-3AF4-4BAE-BF2F-D4425FADD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202190-0da4-4fdc-8bc8-189f9f921ae4"/>
    <ds:schemaRef ds:uri="6e2b7c9e-f35a-4e5e-8c7e-8016799b0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9AD95D-FF4B-492D-92A5-40592E17CE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5CF3C-4209-46A4-9D2C-C3BA8DD7A4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21E26B-A9B7-4D6F-BDF0-EE9FF05069A9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8a202190-0da4-4fdc-8bc8-189f9f921ae4"/>
    <ds:schemaRef ds:uri="6e2b7c9e-f35a-4e5e-8c7e-8016799b0ecb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621</Words>
  <Characters>3541</Characters>
  <Application>Microsoft Office Word</Application>
  <DocSecurity>0</DocSecurity>
  <Lines>29</Lines>
  <Paragraphs>8</Paragraphs>
  <ScaleCrop>false</ScaleCrop>
  <Company>HNELHD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Wilkie</dc:creator>
  <cp:keywords/>
  <cp:lastModifiedBy>Tina Wilkie (Hunter New England LHD)</cp:lastModifiedBy>
  <cp:revision>53</cp:revision>
  <cp:lastPrinted>2023-06-21T22:23:00Z</cp:lastPrinted>
  <dcterms:created xsi:type="dcterms:W3CDTF">2023-06-21T23:08:00Z</dcterms:created>
  <dcterms:modified xsi:type="dcterms:W3CDTF">2024-01-08T20:06:00Z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0x010100360074BF86562242B8135F09315FAABE</vt:lpwstr>
  </property>
</Properties>
</file>